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bookmarkStart w:id="0" w:name="_Hlk157719690"/>
      <w:r>
        <w:rPr>
          <w:sz w:val="24"/>
          <w:szCs w:val="24"/>
          <w:lang w:eastAsia="ja-JP"/>
        </w:rPr>
        <w:t>3GPP SA WG2#171</w:t>
      </w:r>
      <w:r>
        <w:rPr>
          <w:sz w:val="24"/>
          <w:szCs w:val="24"/>
          <w:lang w:eastAsia="ja-JP"/>
        </w:rPr>
        <w:tab/>
        <w:t>S2-2508484</w:t>
      </w:r>
    </w:p>
    <w:p>
      <w:pPr>
        <w:pStyle w:val="a4"/>
        <w:pBdr>
          <w:bottom w:val="single" w:sz="4" w:space="1" w:color="auto"/>
        </w:pBdr>
        <w:tabs>
          <w:tab w:val="right" w:pos="9638"/>
        </w:tabs>
        <w:ind w:right="-57"/>
        <w:rPr>
          <w:rFonts w:eastAsia="Arial Unicode MS" w:cs="Arial"/>
          <w:bCs/>
          <w:sz w:val="24"/>
        </w:rPr>
      </w:pPr>
      <w:r>
        <w:rPr>
          <w:rFonts w:cs="Arial"/>
          <w:bCs/>
          <w:sz w:val="24"/>
        </w:rPr>
        <w:t>Wuhan, China</w:t>
      </w:r>
      <w:r>
        <w:rPr>
          <w:rFonts w:cs="Arial"/>
          <w:bCs/>
          <w:sz w:val="24"/>
          <w:lang w:val="en-US"/>
        </w:rPr>
        <w:t xml:space="preserve">, </w:t>
      </w:r>
      <w:r>
        <w:rPr>
          <w:rFonts w:cs="Arial"/>
          <w:bCs/>
          <w:sz w:val="24"/>
        </w:rPr>
        <w:t>13-17 October, 2025</w:t>
      </w:r>
      <w:r>
        <w:rPr>
          <w:rFonts w:eastAsia="Arial Unicode MS" w:cs="Arial"/>
          <w:bCs/>
        </w:rPr>
        <w:tab/>
        <w:t>(Revision of S2-250xxxx)</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rPr>
            </w:pPr>
            <w:r>
              <w:rPr>
                <w:rFonts w:hint="eastAsia"/>
                <w:b/>
                <w:noProof/>
                <w:sz w:val="28"/>
              </w:rPr>
              <w:t>0</w:t>
            </w:r>
            <w:r>
              <w:rPr>
                <w:b/>
                <w:noProof/>
                <w:sz w:val="28"/>
              </w:rPr>
              <w:t>081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rFonts w:hint="eastAsia"/>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Inventory Complete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2025-10-</w:t>
            </w:r>
            <w:r>
              <w:rPr>
                <w:noProof/>
                <w:lang w:eastAsia="zh-CN"/>
              </w:rPr>
              <w:t>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 the Inventory procedure part, the Inventory complete part is still FFS with the following EN.</w:t>
            </w:r>
          </w:p>
          <w:p>
            <w:pPr>
              <w:pStyle w:val="EditorsNote"/>
            </w:pPr>
            <w:r>
              <w:t>Editor's note:</w:t>
            </w:r>
            <w:r>
              <w:tab/>
              <w:t>The details about completion of the procedure need to be aligned with RAN.</w:t>
            </w:r>
          </w:p>
          <w:p>
            <w:pPr>
              <w:rPr>
                <w:rFonts w:ascii="Arial" w:eastAsia="Malgun Gothic" w:hAnsi="Arial" w:cs="Arial"/>
                <w:noProof/>
                <w:lang w:eastAsia="ko-KR"/>
              </w:rPr>
            </w:pPr>
            <w:r>
              <w:rPr>
                <w:rFonts w:ascii="Arial" w:eastAsia="Malgun Gothic" w:hAnsi="Arial" w:cs="Arial"/>
                <w:noProof/>
                <w:lang w:eastAsia="ko-KR"/>
              </w:rPr>
              <w:t xml:space="preserve">In TS 38.413, there is no dedicated Inventory Complete procedure and the inventory complete is part of the inventory report procedure. </w:t>
            </w:r>
          </w:p>
          <w:p>
            <w:pPr>
              <w:ind w:leftChars="100" w:left="200"/>
              <w:rPr>
                <w:bCs/>
                <w:i/>
                <w:iCs/>
                <w:lang w:val="en-US" w:eastAsia="zh-CN"/>
              </w:rPr>
            </w:pPr>
            <w:r>
              <w:rPr>
                <w:i/>
                <w:iCs/>
                <w:lang w:eastAsia="zh-CN"/>
              </w:rPr>
              <w:t>I</w:t>
            </w:r>
            <w:r>
              <w:rPr>
                <w:rFonts w:hint="eastAsia"/>
                <w:i/>
                <w:iCs/>
                <w:lang w:eastAsia="zh-CN"/>
              </w:rPr>
              <w:t xml:space="preserve">f </w:t>
            </w:r>
            <w:r>
              <w:rPr>
                <w:rFonts w:hint="eastAsia"/>
                <w:bCs/>
                <w:i/>
                <w:iCs/>
                <w:lang w:val="en-US" w:eastAsia="zh-CN"/>
              </w:rPr>
              <w:t xml:space="preserve">Inventory Complete Indication IE is included in the </w:t>
            </w:r>
            <w:r>
              <w:rPr>
                <w:i/>
                <w:iCs/>
              </w:rPr>
              <w:t>INVENTORY REPORT</w:t>
            </w:r>
            <w:r>
              <w:rPr>
                <w:rFonts w:hint="eastAsia"/>
                <w:i/>
                <w:iCs/>
              </w:rPr>
              <w:t xml:space="preserve"> message</w:t>
            </w:r>
            <w:r>
              <w:rPr>
                <w:rFonts w:hint="eastAsia"/>
                <w:bCs/>
                <w:i/>
                <w:iCs/>
                <w:lang w:val="en-US" w:eastAsia="zh-CN"/>
              </w:rPr>
              <w:t xml:space="preserve">, the A-IoT CN node shall consider that the </w:t>
            </w:r>
            <w:r>
              <w:rPr>
                <w:bCs/>
                <w:i/>
                <w:iCs/>
                <w:lang w:val="en-US" w:eastAsia="zh-CN"/>
              </w:rPr>
              <w:t>inventory</w:t>
            </w:r>
            <w:r>
              <w:rPr>
                <w:rFonts w:hint="eastAsia"/>
                <w:bCs/>
                <w:i/>
                <w:iCs/>
                <w:lang w:val="en-US" w:eastAsia="zh-CN"/>
              </w:rPr>
              <w:t xml:space="preserve"> operation is completed in the NG-RAN node. </w:t>
            </w:r>
          </w:p>
          <w:p>
            <w:pPr>
              <w:rPr>
                <w:rFonts w:ascii="Arial" w:hAnsi="Arial" w:cs="Arial"/>
                <w:noProof/>
                <w:lang w:val="en-US"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rFonts w:hint="eastAsia"/>
                <w:noProof/>
              </w:rPr>
              <w:t>T</w:t>
            </w:r>
            <w:r>
              <w:rPr>
                <w:noProof/>
              </w:rPr>
              <w:t>he completion of the Inventory procedure in the NG-RAN is aligned with RAN3 agreement.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val="en-US"/>
              </w:rPr>
            </w:pPr>
            <w:r>
              <w:rPr>
                <w:noProof/>
                <w:lang w:val="en-US"/>
              </w:rPr>
              <w:t>EN remains.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6</w:t>
            </w:r>
            <w:r>
              <w:rPr>
                <w:noProof/>
                <w:lang w:eastAsia="zh-CN"/>
              </w:rPr>
              <w:t>.2.2, 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rPr>
          <w:lang w:val="en-US" w:eastAsia="zh-CN"/>
        </w:rPr>
      </w:pPr>
      <w:bookmarkStart w:id="2" w:name="_Toc191462391"/>
      <w:bookmarkStart w:id="3" w:name="_Toc195709910"/>
      <w:bookmarkStart w:id="4" w:name="_Toc209591636"/>
      <w:bookmarkStart w:id="5" w:name="_Toc66692713"/>
      <w:bookmarkStart w:id="6" w:name="_Toc66701892"/>
      <w:bookmarkStart w:id="7" w:name="_Toc69883566"/>
      <w:bookmarkStart w:id="8" w:name="_Toc73625579"/>
      <w:bookmarkStart w:id="9" w:name="_Toc83206688"/>
      <w:r>
        <w:rPr>
          <w:lang w:val="en-US" w:eastAsia="zh-CN"/>
        </w:rPr>
        <w:t>6.2.2</w:t>
      </w:r>
      <w:r>
        <w:rPr>
          <w:lang w:val="en-US" w:eastAsia="zh-CN"/>
        </w:rPr>
        <w:tab/>
        <w:t>Inventory Procedure</w:t>
      </w:r>
      <w:bookmarkEnd w:id="2"/>
      <w:bookmarkEnd w:id="3"/>
      <w:bookmarkEnd w:id="4"/>
    </w:p>
    <w:p>
      <w:pPr>
        <w:rPr>
          <w:lang w:val="en-US" w:eastAsia="zh-CN"/>
        </w:rPr>
      </w:pPr>
      <w:r>
        <w:rPr>
          <w:lang w:val="en-US" w:eastAsia="zh-CN"/>
        </w:rPr>
        <w:t>Figure 6.2.2-1 describes the inventory procedure.</w:t>
      </w:r>
    </w:p>
    <w:p>
      <w:r>
        <w:t>The procedure focuses on the messages and parameters used for the communication between AIOTF and NG-RAN regardless of the path to access NG-RAN, see clause 4.2.2.1. The handling of the different communication paths is described in clause 6.2.4.</w:t>
      </w:r>
    </w:p>
    <w:bookmarkStart w:id="10" w:name="_MON_1804348619"/>
    <w:bookmarkEnd w:id="10"/>
    <w:p>
      <w:pPr>
        <w:pStyle w:val="TH"/>
        <w:rPr>
          <w:ins w:id="11" w:author="OPPO-Fei Lu" w:date="2025-09-28T16:34:00Z"/>
          <w:rFonts w:eastAsia="宋体"/>
          <w:lang w:val="en-US" w:eastAsia="zh-CN"/>
        </w:rPr>
      </w:pPr>
      <w:del w:id="12" w:author="OPPO-Fei Lu" w:date="2025-09-28T16:34:00Z">
        <w:r>
          <w:rPr>
            <w:rFonts w:eastAsia="宋体"/>
            <w:lang w:val="en-US" w:eastAsia="zh-CN"/>
          </w:rPr>
          <w:object w:dxaOrig="9250" w:dyaOrig="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pt;height:405.05pt" o:ole="">
              <v:imagedata r:id="rId13" o:title=""/>
            </v:shape>
            <o:OLEObject Type="Embed" ProgID="Word.Document.12" ShapeID="_x0000_i1025" DrawAspect="Content" ObjectID="_1820952461" r:id="rId14">
              <o:FieldCodes>\s</o:FieldCodes>
            </o:OLEObject>
          </w:object>
        </w:r>
      </w:del>
    </w:p>
    <w:bookmarkStart w:id="13" w:name="_MON_1820582714"/>
    <w:bookmarkEnd w:id="13"/>
    <w:p>
      <w:pPr>
        <w:pStyle w:val="TH"/>
        <w:rPr>
          <w:rFonts w:eastAsia="宋体"/>
          <w:lang w:val="en-US" w:eastAsia="zh-CN"/>
        </w:rPr>
      </w:pPr>
      <w:ins w:id="14" w:author="OPPO-Fei Lu" w:date="2025-09-28T16:34:00Z">
        <w:r>
          <w:rPr>
            <w:rFonts w:eastAsia="宋体"/>
            <w:lang w:val="en-US" w:eastAsia="zh-CN"/>
          </w:rPr>
          <w:object w:dxaOrig="9250" w:dyaOrig="8098">
            <v:shape id="_x0000_i1026" type="#_x0000_t75" style="width:462.4pt;height:405.05pt" o:ole="">
              <v:imagedata r:id="rId15" o:title=""/>
            </v:shape>
            <o:OLEObject Type="Embed" ProgID="Word.Document.12" ShapeID="_x0000_i1026" DrawAspect="Content" ObjectID="_1820952462" r:id="rId16">
              <o:FieldCodes>\s</o:FieldCodes>
            </o:OLEObject>
          </w:object>
        </w:r>
      </w:ins>
    </w:p>
    <w:p>
      <w:pPr>
        <w:pStyle w:val="TF"/>
        <w:rPr>
          <w:lang w:eastAsia="zh-CN"/>
        </w:rPr>
      </w:pPr>
      <w:bookmarkStart w:id="15" w:name="_CRFigure6_2_21"/>
      <w:r>
        <w:rPr>
          <w:lang w:eastAsia="zh-CN"/>
        </w:rPr>
        <w:t xml:space="preserve">Figure </w:t>
      </w:r>
      <w:bookmarkEnd w:id="15"/>
      <w:r>
        <w:rPr>
          <w:lang w:eastAsia="zh-CN"/>
        </w:rPr>
        <w:t>6.2.2-</w:t>
      </w:r>
      <w:r>
        <w:t>1: I</w:t>
      </w:r>
      <w:r>
        <w:rPr>
          <w:lang w:eastAsia="zh-CN"/>
        </w:rPr>
        <w:t>nventory Procedure</w:t>
      </w:r>
    </w:p>
    <w:p>
      <w:pPr>
        <w:pStyle w:val="B1"/>
      </w:pPr>
      <w:r>
        <w:t>1.</w:t>
      </w:r>
      <w:r>
        <w:tab/>
        <w:t xml:space="preserve">The AF invokes </w:t>
      </w:r>
      <w:proofErr w:type="spellStart"/>
      <w:r>
        <w:t>Nnef_AIoT_Inventory</w:t>
      </w:r>
      <w:proofErr w:type="spellEnd"/>
      <w:r>
        <w:t xml:space="preserve"> Request (AF ID, [External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t xml:space="preserve"> service operation request to the NEF.</w:t>
      </w:r>
    </w:p>
    <w:p>
      <w:pPr>
        <w:pStyle w:val="B1"/>
      </w:pPr>
      <w:r>
        <w:tab/>
        <w:t xml:space="preserve">Information about the target </w:t>
      </w:r>
      <w:proofErr w:type="spellStart"/>
      <w:r>
        <w:t>AIoT</w:t>
      </w:r>
      <w:proofErr w:type="spellEnd"/>
      <w:r>
        <w:t xml:space="preserve"> Device(s) may include </w:t>
      </w:r>
      <w:r>
        <w:rPr>
          <w:rFonts w:eastAsia="等线"/>
        </w:rPr>
        <w:t>Filtering</w:t>
      </w:r>
      <w:r>
        <w:t xml:space="preserve">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pPr>
        <w:pStyle w:val="B1"/>
      </w:pPr>
      <w:r>
        <w:tab/>
        <w:t>The time interval, if provided, is described in clause 5.9.</w:t>
      </w:r>
    </w:p>
    <w:p>
      <w:pPr>
        <w:pStyle w:val="B1"/>
      </w:pPr>
      <w:r>
        <w:tab/>
        <w:t>The location information requested parameter indicates whether the AF expects the network to provide the device location information.</w:t>
      </w:r>
    </w:p>
    <w:p>
      <w:pPr>
        <w:pStyle w:val="B1"/>
      </w:pPr>
      <w:r>
        <w:t>2.</w:t>
      </w:r>
      <w:r>
        <w:tab/>
      </w:r>
      <w:r>
        <w:rPr>
          <w:rFonts w:eastAsia="MS Mincho"/>
        </w:rPr>
        <w:t>The NEF may further authorize the AF request as specified in clause 5.6.</w:t>
      </w:r>
    </w:p>
    <w:p>
      <w:pPr>
        <w:pStyle w:val="B1"/>
      </w:pPr>
      <w:r>
        <w:tab/>
        <w:t>The NEF determines the Target Area information from the External Target Area information, and selects one or multiple AIOTF(s) to handle the request</w:t>
      </w:r>
      <w:r>
        <w:rPr>
          <w:lang w:eastAsia="zh-CN"/>
        </w:rPr>
        <w:t xml:space="preserve"> as specified in clause 5.3.1.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pPr>
        <w:pStyle w:val="B1"/>
      </w:pPr>
      <w:r>
        <w:lastRenderedPageBreak/>
        <w:t>3.</w:t>
      </w:r>
      <w:r>
        <w:tab/>
        <w:t xml:space="preserve">The NEF invokes the </w:t>
      </w:r>
      <w:proofErr w:type="spellStart"/>
      <w:r>
        <w:rPr>
          <w:rFonts w:eastAsia="等线"/>
          <w:lang w:eastAsia="zh-CN"/>
        </w:rPr>
        <w:t>Naiotf_</w:t>
      </w:r>
      <w:r>
        <w:rPr>
          <w:rFonts w:eastAsia="宋体"/>
        </w:rPr>
        <w:t>AIoT_Inventory</w:t>
      </w:r>
      <w:proofErr w:type="spellEnd"/>
      <w:r>
        <w:rPr>
          <w:rFonts w:eastAsia="宋体"/>
        </w:rPr>
        <w:t>(</w:t>
      </w:r>
      <w:r>
        <w:t>AF ID,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rPr>
          <w:rFonts w:eastAsia="等线"/>
          <w:lang w:eastAsia="zh-CN"/>
        </w:rPr>
        <w:t xml:space="preserve"> </w:t>
      </w:r>
      <w:r>
        <w:t>service operation towards each of the selected AIOTF(s).</w:t>
      </w:r>
    </w:p>
    <w:p>
      <w:pPr>
        <w:pStyle w:val="B1"/>
      </w:pPr>
      <w:r>
        <w:t>4.</w:t>
      </w:r>
      <w:r>
        <w:tab/>
        <w:t xml:space="preserve">The AIOTF receives the </w:t>
      </w:r>
      <w:proofErr w:type="spellStart"/>
      <w:r>
        <w:t>Naiotf_AIoT_Inventory</w:t>
      </w:r>
      <w:proofErr w:type="spellEnd"/>
      <w:r>
        <w:t xml:space="preserve"> request and checks the parameters included in the request. The AIOTF may perform authorization as specified in clause 5.6. If the </w:t>
      </w:r>
      <w:proofErr w:type="spellStart"/>
      <w:r>
        <w:t>AIoT</w:t>
      </w:r>
      <w:proofErr w:type="spellEnd"/>
      <w:r>
        <w:t xml:space="preserve"> service operation request cannot be processed, the AIOTF rejects the </w:t>
      </w:r>
      <w:proofErr w:type="spellStart"/>
      <w:r>
        <w:t>AIoT</w:t>
      </w:r>
      <w:proofErr w:type="spellEnd"/>
      <w:r>
        <w:t xml:space="preserve"> service operation request with an appropriate cause code, and step 7 onwards are skipped.</w:t>
      </w:r>
    </w:p>
    <w:p>
      <w:pPr>
        <w:pStyle w:val="B1"/>
      </w:pPr>
      <w:r>
        <w:tab/>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p>
    <w:p>
      <w:pPr>
        <w:pStyle w:val="B1"/>
      </w:pPr>
      <w:r>
        <w:tab/>
      </w:r>
      <w:r>
        <w:rPr>
          <w:rFonts w:eastAsia="MS Mincho"/>
        </w:rPr>
        <w:t xml:space="preserve">The </w:t>
      </w:r>
      <w:proofErr w:type="spellStart"/>
      <w:r>
        <w:rPr>
          <w:rFonts w:eastAsia="MS Mincho"/>
        </w:rPr>
        <w:t>AIoT</w:t>
      </w:r>
      <w:proofErr w:type="spellEnd"/>
      <w:r>
        <w:rPr>
          <w:rFonts w:eastAsia="MS Mincho"/>
        </w:rPr>
        <w:t xml:space="preserve"> Identification </w:t>
      </w:r>
      <w:r>
        <w:t>Information</w:t>
      </w:r>
      <w:r>
        <w:rPr>
          <w:rFonts w:eastAsia="MS Mincho"/>
        </w:rPr>
        <w:t xml:space="preserve"> to be provided to NG-RAN can include Filtering Information, as defined in clause 5.8, or a single </w:t>
      </w:r>
      <w:proofErr w:type="spellStart"/>
      <w:r>
        <w:rPr>
          <w:rFonts w:eastAsia="MS Mincho"/>
        </w:rPr>
        <w:t>AIoT</w:t>
      </w:r>
      <w:proofErr w:type="spellEnd"/>
      <w:r>
        <w:rPr>
          <w:rFonts w:eastAsia="MS Mincho"/>
        </w:rPr>
        <w:t xml:space="preserve"> Device Identifier.</w:t>
      </w:r>
    </w:p>
    <w:p>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pPr>
        <w:pStyle w:val="B1"/>
      </w:pPr>
      <w:r>
        <w:tab/>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pPr>
      <w:r>
        <w:tab/>
        <w:t>The AIOTF may perform AMF selection as described in clause 5.3.4.</w:t>
      </w:r>
    </w:p>
    <w:p>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pPr>
        <w:pStyle w:val="B1"/>
      </w:pPr>
      <w:r>
        <w:t>7.</w:t>
      </w:r>
      <w:r>
        <w:tab/>
        <w:t xml:space="preserve">The AIOTF sends the Inventory Request message including the Correlation ID, the </w:t>
      </w:r>
      <w:proofErr w:type="spellStart"/>
      <w:r>
        <w:t>AIoT</w:t>
      </w:r>
      <w:proofErr w:type="spellEnd"/>
      <w:r>
        <w:t xml:space="preserve"> Identification Information to be included in the paging message, Requested Service Area Information and assistance information to the selected </w:t>
      </w:r>
      <w:r>
        <w:rPr>
          <w:rFonts w:hint="eastAsia"/>
          <w:lang w:eastAsia="zh-CN"/>
        </w:rPr>
        <w:t>NG-</w:t>
      </w:r>
      <w:r>
        <w:t>RAN as specified in TS 38.413 [10].</w:t>
      </w:r>
    </w:p>
    <w:p>
      <w:pPr>
        <w:pStyle w:val="B1"/>
      </w:pPr>
      <w:r>
        <w:t>8.</w:t>
      </w:r>
      <w:r>
        <w:tab/>
        <w:t xml:space="preserve">The </w:t>
      </w:r>
      <w:r>
        <w:rPr>
          <w:rFonts w:hint="eastAsia"/>
          <w:lang w:eastAsia="zh-CN"/>
        </w:rPr>
        <w:t>NG-</w:t>
      </w:r>
      <w:r>
        <w:t xml:space="preserve">RAN sends an Inventory Response to the AIOTF with the Correlation ID indicating that the Inventory Request is received successfully and will perform the </w:t>
      </w:r>
      <w:proofErr w:type="spellStart"/>
      <w:r>
        <w:t>AIoT</w:t>
      </w:r>
      <w:proofErr w:type="spellEnd"/>
      <w:r>
        <w:t xml:space="preserve"> service operation accordingly as specified in TS 38.413 [10].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pPr>
        <w:pStyle w:val="B1"/>
      </w:pPr>
      <w:r>
        <w:t>9.</w:t>
      </w:r>
      <w: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t>AIoT</w:t>
      </w:r>
      <w:proofErr w:type="spellEnd"/>
      <w:r>
        <w:t xml:space="preserve"> Identification Information.</w:t>
      </w:r>
    </w:p>
    <w:p>
      <w:pPr>
        <w:pStyle w:val="B1"/>
      </w:pPr>
      <w:r>
        <w:tab/>
        <w:t xml:space="preserve">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identity.</w:t>
      </w:r>
    </w:p>
    <w:p>
      <w:pPr>
        <w:pStyle w:val="EditorsNote"/>
      </w:pPr>
      <w:r>
        <w:t>Editor's note:</w:t>
      </w:r>
      <w:r>
        <w:tab/>
        <w:t>Whether and how the Device ID is concealed or encrypted will be determined and aligned with SA WG3.</w:t>
      </w:r>
    </w:p>
    <w:p>
      <w:pPr>
        <w:pStyle w:val="B1"/>
      </w:pPr>
      <w:r>
        <w:t>10.</w:t>
      </w:r>
      <w:r>
        <w:tab/>
      </w:r>
      <w:r>
        <w:rPr>
          <w:rFonts w:hint="eastAsia"/>
          <w:lang w:eastAsia="zh-CN"/>
        </w:rPr>
        <w:t>NG-</w:t>
      </w:r>
      <w:r>
        <w:t xml:space="preserve">RAN sends one or more Inventory Report messages to the AIOTF including the Correlation ID, Reader ID and the AIOT NAS message(s) from the </w:t>
      </w:r>
      <w:proofErr w:type="spellStart"/>
      <w:r>
        <w:t>AIoT</w:t>
      </w:r>
      <w:proofErr w:type="spellEnd"/>
      <w:r>
        <w:t xml:space="preserve"> Device(s) as specified in TS 38.413 [10]. </w:t>
      </w:r>
      <w:ins w:id="16" w:author="OPPO-Fei Lu" w:date="2025-09-28T16:36:00Z">
        <w:r>
          <w:t xml:space="preserve">If the NG-RAN detects that no more </w:t>
        </w:r>
        <w:proofErr w:type="spellStart"/>
        <w:r>
          <w:t>AIoT</w:t>
        </w:r>
        <w:proofErr w:type="spellEnd"/>
        <w:r>
          <w:t xml:space="preserve"> Devices will respond to the inventory procedure, the NG-RAN informs the AIOTF that the procedure is complete</w:t>
        </w:r>
      </w:ins>
      <w:ins w:id="17" w:author="OPPO-Fei Lu" w:date="2025-09-28T16:38:00Z">
        <w:r>
          <w:t xml:space="preserve"> by including</w:t>
        </w:r>
      </w:ins>
      <w:ins w:id="18" w:author="OPPO-Fei Lu" w:date="2025-09-28T16:36:00Z">
        <w:r>
          <w:t xml:space="preserve"> </w:t>
        </w:r>
      </w:ins>
      <w:ins w:id="19" w:author="OPPO-Fei Lu" w:date="2025-09-28T16:38:00Z">
        <w:r>
          <w:rPr>
            <w:rFonts w:hint="eastAsia"/>
          </w:rPr>
          <w:t>Inventory Complete Indication</w:t>
        </w:r>
        <w:r>
          <w:t xml:space="preserve"> </w:t>
        </w:r>
      </w:ins>
      <w:ins w:id="20" w:author="OPPO-Fei Lu" w:date="2025-09-28T16:39:00Z">
        <w:r>
          <w:t xml:space="preserve">in the </w:t>
        </w:r>
      </w:ins>
      <w:ins w:id="21" w:author="OPPO-Fei Lu" w:date="2025-09-28T16:38:00Z">
        <w:r>
          <w:t>Inventory Report messages</w:t>
        </w:r>
      </w:ins>
      <w:ins w:id="22" w:author="OPPO-Fei Lu" w:date="2025-09-28T16:36:00Z">
        <w:r>
          <w:t xml:space="preserve">. After the procedure has completed NG-RAN will not send any further Inventory Reports for this requested Inventory. </w:t>
        </w:r>
      </w:ins>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 xml:space="preserve">The AIOTF stores the mapping between the Reader ID and </w:t>
      </w:r>
      <w:proofErr w:type="spellStart"/>
      <w:r>
        <w:t>AIoT</w:t>
      </w:r>
      <w:proofErr w:type="spellEnd"/>
      <w:r>
        <w:t xml:space="preserve"> Device ID(s).</w:t>
      </w:r>
    </w:p>
    <w:p>
      <w:pPr>
        <w:pStyle w:val="NO"/>
      </w:pPr>
      <w:r>
        <w:t>NOTE:</w:t>
      </w:r>
      <w:r>
        <w:tab/>
        <w:t xml:space="preserve">When to erase the stored mapping between the Reader ID and </w:t>
      </w:r>
      <w:proofErr w:type="spellStart"/>
      <w:r>
        <w:t>AIoT</w:t>
      </w:r>
      <w:proofErr w:type="spellEnd"/>
      <w:r>
        <w:t xml:space="preserve"> device ID(s) is up to implementation and local configuration.</w:t>
      </w:r>
    </w:p>
    <w:p>
      <w:pPr>
        <w:pStyle w:val="B1"/>
        <w:rPr>
          <w:del w:id="23" w:author="OPPO-Fei Lu" w:date="2025-09-28T16:42:00Z"/>
        </w:rPr>
      </w:pPr>
      <w:r>
        <w:lastRenderedPageBreak/>
        <w:t>11.</w:t>
      </w:r>
      <w:r>
        <w:tab/>
        <w:t>The AIOTF validates the results, using local stored device information or device profile data retrieved from the ADM. The AIOTF may aggregate the results.</w:t>
      </w:r>
    </w:p>
    <w:p>
      <w:pPr>
        <w:pStyle w:val="B1"/>
        <w:rPr>
          <w:del w:id="24" w:author="OPPO-Fei Lu" w:date="2025-09-28T16:36:00Z"/>
        </w:rPr>
      </w:pPr>
      <w:del w:id="25" w:author="OPPO-Fei Lu" w:date="2025-09-28T16:36:00Z">
        <w:r>
          <w:delText>12.</w:delText>
        </w:r>
        <w:r>
          <w:tab/>
          <w:delTex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delText>
        </w:r>
      </w:del>
    </w:p>
    <w:p>
      <w:pPr>
        <w:pStyle w:val="B1"/>
        <w:pPrChange w:id="26" w:author="OPPO-Fei Lu" w:date="2025-09-28T16:42:00Z">
          <w:pPr>
            <w:pStyle w:val="EditorsNote"/>
          </w:pPr>
        </w:pPrChange>
      </w:pPr>
      <w:del w:id="27" w:author="OPPO-Fei Lu" w:date="2025-09-28T16:35:00Z">
        <w:r>
          <w:delText>Editor's note:</w:delText>
        </w:r>
        <w:r>
          <w:tab/>
          <w:delText>The details about completion of the procedure need to be aligned with RAN.</w:delText>
        </w:r>
      </w:del>
    </w:p>
    <w:p>
      <w:pPr>
        <w:pStyle w:val="B1"/>
      </w:pPr>
      <w:del w:id="28" w:author="OPPO-Fei Lu" w:date="2025-09-28T16:36:00Z">
        <w:r>
          <w:delText>13</w:delText>
        </w:r>
      </w:del>
      <w:ins w:id="29" w:author="OPPO-Fei Lu" w:date="2025-09-28T16:36:00Z">
        <w:r>
          <w:t>12</w:t>
        </w:r>
      </w:ins>
      <w:r>
        <w:t>.</w:t>
      </w:r>
      <w:r>
        <w:tab/>
        <w:t xml:space="preserve">The AIOTF reports the progress of the </w:t>
      </w:r>
      <w:proofErr w:type="spellStart"/>
      <w:r>
        <w:t>Naiotf_AIoT_Inventory</w:t>
      </w:r>
      <w:proofErr w:type="spellEnd"/>
      <w:r>
        <w:t xml:space="preserve"> request to the NEF by sending the </w:t>
      </w:r>
      <w:proofErr w:type="spellStart"/>
      <w:r>
        <w:t>Naiotf_AIoT_Notify</w:t>
      </w:r>
      <w:proofErr w:type="spellEnd"/>
      <w:r>
        <w:t xml:space="preserve"> message including a list of </w:t>
      </w:r>
      <w:proofErr w:type="spellStart"/>
      <w:r>
        <w:t>AIoT</w:t>
      </w:r>
      <w:proofErr w:type="spellEnd"/>
      <w:r>
        <w:t xml:space="preserve"> Device Permanent Identifier (s) and optionally location of each </w:t>
      </w:r>
      <w:proofErr w:type="spellStart"/>
      <w:r>
        <w:t>AIoT</w:t>
      </w:r>
      <w:proofErr w:type="spellEnd"/>
      <w:r>
        <w:t xml:space="preserve"> Device. The AIOTF may send multiple reports.</w:t>
      </w:r>
    </w:p>
    <w:p>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pPr>
        <w:pStyle w:val="B1"/>
      </w:pPr>
      <w:r>
        <w:tab/>
        <w:t xml:space="preserve">The AIOTF in the final </w:t>
      </w:r>
      <w:proofErr w:type="spellStart"/>
      <w:r>
        <w:t>Naiotf_AIoT_Notify</w:t>
      </w:r>
      <w:proofErr w:type="spellEnd"/>
      <w:r>
        <w:t xml:space="preserve"> message indicates it is the last report for this operation.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pPr>
        <w:pStyle w:val="B1"/>
      </w:pPr>
      <w:del w:id="30" w:author="OPPO-Fei Lu" w:date="2025-09-28T16:36:00Z">
        <w:r>
          <w:delText>14</w:delText>
        </w:r>
      </w:del>
      <w:ins w:id="31" w:author="OPPO-Fei Lu" w:date="2025-09-28T16:36:00Z">
        <w:r>
          <w:t>13</w:t>
        </w:r>
      </w:ins>
      <w:r>
        <w:t>.</w:t>
      </w:r>
      <w:r>
        <w:tab/>
        <w:t xml:space="preserve">When receiving the </w:t>
      </w:r>
      <w:proofErr w:type="spellStart"/>
      <w:r>
        <w:t>Naiotf_AIoT_Notify</w:t>
      </w:r>
      <w:proofErr w:type="spellEnd"/>
      <w:r>
        <w:t xml:space="preserve"> message from AIOTF, the NEF informs the AF of the outcome of the </w:t>
      </w:r>
      <w:proofErr w:type="spellStart"/>
      <w:r>
        <w:t>Nnef_AIoT_Inventory</w:t>
      </w:r>
      <w:proofErr w:type="spellEnd"/>
      <w:r>
        <w:t xml:space="preserve"> request by sending the </w:t>
      </w:r>
      <w:proofErr w:type="spellStart"/>
      <w:r>
        <w:t>Nnef_AIoT_Notify</w:t>
      </w:r>
      <w:proofErr w:type="spellEnd"/>
      <w:r>
        <w:t xml:space="preserve"> message(s) including the </w:t>
      </w:r>
      <w:proofErr w:type="spellStart"/>
      <w:r>
        <w:t>AIoT</w:t>
      </w:r>
      <w:proofErr w:type="spellEnd"/>
      <w:r>
        <w:t xml:space="preserve"> Device Permanent Identifier(s) and optionally location of each </w:t>
      </w:r>
      <w:proofErr w:type="spellStart"/>
      <w:r>
        <w:t>AIoT</w:t>
      </w:r>
      <w:proofErr w:type="spellEnd"/>
      <w:r>
        <w:t xml:space="preserve"> Device. The NEF in the final </w:t>
      </w:r>
      <w:proofErr w:type="spellStart"/>
      <w:r>
        <w:t>Nnef_AIoT_Notify</w:t>
      </w:r>
      <w:proofErr w:type="spellEnd"/>
      <w:r>
        <w:t xml:space="preserve"> message indicates that it is the last report for this operation.</w:t>
      </w: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32" w:name="_Toc191462392"/>
      <w:bookmarkStart w:id="33" w:name="_Toc195709911"/>
      <w:bookmarkStart w:id="34" w:name="_Toc209591637"/>
      <w:bookmarkEnd w:id="5"/>
      <w:bookmarkEnd w:id="6"/>
      <w:bookmarkEnd w:id="7"/>
      <w:bookmarkEnd w:id="8"/>
      <w:bookmarkEnd w:id="9"/>
      <w:r>
        <w:rPr>
          <w:lang w:eastAsia="zh-CN"/>
        </w:rPr>
        <w:t>6.2.3</w:t>
      </w:r>
      <w:r>
        <w:rPr>
          <w:lang w:eastAsia="zh-CN"/>
        </w:rPr>
        <w:tab/>
        <w:t>Command</w:t>
      </w:r>
      <w:bookmarkEnd w:id="32"/>
      <w:r>
        <w:rPr>
          <w:lang w:eastAsia="zh-CN"/>
        </w:rPr>
        <w:t xml:space="preserve"> Procedure</w:t>
      </w:r>
      <w:bookmarkEnd w:id="33"/>
      <w:bookmarkEnd w:id="34"/>
    </w:p>
    <w:p>
      <w:pPr>
        <w:rPr>
          <w:lang w:val="en-US" w:eastAsia="zh-CN"/>
        </w:rPr>
      </w:pPr>
      <w:r>
        <w:rPr>
          <w:lang w:val="en-US" w:eastAsia="zh-CN"/>
        </w:rPr>
        <w:t>Figure 6.2.3-1 depicts the command procedure.</w:t>
      </w:r>
    </w:p>
    <w:p>
      <w:r>
        <w:t>The procedure focuses on the messages and parameters used for the communication between AIOTF and NG-RAN regardless of the path to access NG-RAN, see clause 4.2.2.1. The handling of the different communication paths is described in clause 6.2.4.</w:t>
      </w:r>
    </w:p>
    <w:p>
      <w:pPr>
        <w:pStyle w:val="TH"/>
        <w:rPr>
          <w:ins w:id="35" w:author="OPPO-Fei Lu" w:date="2025-09-28T16:40:00Z"/>
        </w:rPr>
      </w:pPr>
      <w:del w:id="36" w:author="OPPO-Fei Lu" w:date="2025-09-28T16:40:00Z">
        <w:r>
          <w:object w:dxaOrig="9880" w:dyaOrig="8870">
            <v:shape id="_x0000_i1027" type="#_x0000_t75" style="width:481.65pt;height:432.75pt" o:ole="">
              <v:imagedata r:id="rId17" o:title=""/>
            </v:shape>
            <o:OLEObject Type="Embed" ProgID="Visio.Drawing.15" ShapeID="_x0000_i1027" DrawAspect="Content" ObjectID="_1820952463" r:id="rId18"/>
          </w:object>
        </w:r>
      </w:del>
    </w:p>
    <w:p>
      <w:pPr>
        <w:pStyle w:val="TH"/>
        <w:rPr>
          <w:rFonts w:eastAsia="宋体"/>
        </w:rPr>
      </w:pPr>
      <w:ins w:id="37" w:author="OPPO-Fei Lu" w:date="2025-09-28T16:40:00Z">
        <w:r>
          <w:object w:dxaOrig="9880" w:dyaOrig="8870">
            <v:shape id="_x0000_i1028" type="#_x0000_t75" style="width:481.65pt;height:432.75pt" o:ole="">
              <v:imagedata r:id="rId19" o:title=""/>
            </v:shape>
            <o:OLEObject Type="Embed" ProgID="Visio.Drawing.15" ShapeID="_x0000_i1028" DrawAspect="Content" ObjectID="_1820952464" r:id="rId20"/>
          </w:object>
        </w:r>
      </w:ins>
    </w:p>
    <w:p>
      <w:pPr>
        <w:pStyle w:val="TF"/>
        <w:rPr>
          <w:lang w:eastAsia="zh-CN"/>
        </w:rPr>
      </w:pPr>
      <w:bookmarkStart w:id="38" w:name="_CRFigure6_2_31"/>
      <w:r>
        <w:rPr>
          <w:lang w:eastAsia="zh-CN"/>
        </w:rPr>
        <w:t xml:space="preserve">Figure </w:t>
      </w:r>
      <w:bookmarkEnd w:id="38"/>
      <w:r>
        <w:rPr>
          <w:lang w:eastAsia="zh-CN"/>
        </w:rPr>
        <w:t>6.2.3-1: Command Procedure</w:t>
      </w:r>
    </w:p>
    <w:p>
      <w:pPr>
        <w:pStyle w:val="B1"/>
      </w:pPr>
      <w:r>
        <w:t>1.</w:t>
      </w:r>
      <w:r>
        <w:tab/>
        <w:t xml:space="preserve">The AF sends the </w:t>
      </w:r>
      <w:proofErr w:type="spellStart"/>
      <w:r>
        <w:t>Nnef_AIoT_Command</w:t>
      </w:r>
      <w:proofErr w:type="spellEnd"/>
      <w:r>
        <w:t xml:space="preserve"> 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[location information requested])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Step 2 of the Inventory Procedure specified in clause 6.2.2 is performed for External Target Area information processing and AIOTF selection with the following clarifications:</w:t>
      </w:r>
    </w:p>
    <w:p>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w:t>
      </w:r>
      <w:r>
        <w:lastRenderedPageBreak/>
        <w:t>message size], [Command type specific parameters], [location information requested]) message to the selected AIOTF(s).</w:t>
      </w:r>
    </w:p>
    <w:p>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w:t>
      </w:r>
      <w:del w:id="39" w:author="OPPO-Fei Lu" w:date="2025-09-28T16:40:00Z">
        <w:r>
          <w:delText xml:space="preserve">step12 </w:delText>
        </w:r>
      </w:del>
      <w:ins w:id="40" w:author="OPPO-Fei Lu" w:date="2025-09-28T16:40:00Z">
        <w:r>
          <w:t xml:space="preserve">step11 </w:t>
        </w:r>
      </w:ins>
      <w:r>
        <w:t xml:space="preserve">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For each successful Inventory response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is used by the NG-RAN to determine the </w:t>
      </w:r>
      <w:proofErr w:type="spellStart"/>
      <w:r>
        <w:t>AIoT</w:t>
      </w:r>
      <w:proofErr w:type="spellEnd"/>
      <w:r>
        <w:t xml:space="preserve"> device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NO"/>
      </w:pPr>
      <w:r>
        <w:rPr>
          <w:rFonts w:hint="eastAsia"/>
        </w:rPr>
        <w:t>N</w:t>
      </w:r>
      <w:r>
        <w:t>OTE:</w:t>
      </w:r>
      <w:r>
        <w:tab/>
        <w:t>Command Request(s) can be sent to NG-RAN when inventory procedure is ongoing.</w:t>
      </w:r>
    </w:p>
    <w:p>
      <w:pPr>
        <w:pStyle w:val="EditorsNote"/>
      </w:pPr>
      <w:r>
        <w:t>Editor's note:</w:t>
      </w:r>
      <w:r>
        <w:tab/>
        <w:t>Additional information included in the NAS Command Request for security will be determined and aligned with SA WG3.</w:t>
      </w:r>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EditorsNote"/>
      </w:pPr>
      <w:r>
        <w:t>Editor's note:</w:t>
      </w:r>
      <w:r>
        <w:tab/>
        <w:t>Additional information included in the NAS Command Response for security will be determined and aligned with SA WG3.</w:t>
      </w:r>
    </w:p>
    <w:p>
      <w:pPr>
        <w:pStyle w:val="B1"/>
      </w:pPr>
      <w:r>
        <w:lastRenderedPageBreak/>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device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pPr>
        <w:pStyle w:val="B1"/>
      </w:pPr>
      <w:r>
        <w:tab/>
        <w:t xml:space="preserve">When the last report is sent, the AIOTF ends the </w:t>
      </w:r>
      <w:proofErr w:type="spellStart"/>
      <w:r>
        <w:t>AIoT</w:t>
      </w:r>
      <w:proofErr w:type="spellEnd"/>
      <w:r>
        <w:t xml:space="preserve"> Session.</w:t>
      </w:r>
    </w:p>
    <w:p>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10</Pages>
  <Words>2508</Words>
  <Characters>14297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12</cp:revision>
  <cp:lastPrinted>1899-12-31T23:00:00Z</cp:lastPrinted>
  <dcterms:created xsi:type="dcterms:W3CDTF">2025-09-26T07:59:00Z</dcterms:created>
  <dcterms:modified xsi:type="dcterms:W3CDTF">2025-10-02T15:21:00Z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